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方正小标宋简体" w:cs="Times New Roman"/>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铜陵国元典当有限责任公司</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信息公开管理办法（试行）</w:t>
      </w:r>
    </w:p>
    <w:p>
      <w:pPr>
        <w:spacing w:line="560" w:lineRule="exact"/>
        <w:ind w:firstLine="560" w:firstLineChars="200"/>
        <w:rPr>
          <w:rFonts w:hint="default" w:eastAsiaTheme="minorEastAsia"/>
          <w:sz w:val="28"/>
          <w:szCs w:val="28"/>
          <w:lang w:val="en-US" w:eastAsia="zh-CN"/>
        </w:rPr>
      </w:pPr>
      <w:r>
        <w:rPr>
          <w:rFonts w:hint="eastAsia"/>
          <w:sz w:val="28"/>
          <w:szCs w:val="28"/>
          <w:lang w:val="en-US" w:eastAsia="zh-CN"/>
        </w:rPr>
        <w:t xml:space="preserve">              </w:t>
      </w:r>
      <w:r>
        <w:rPr>
          <w:rFonts w:hint="eastAsia" w:ascii="楷体_GB2312" w:hAnsi="楷体_GB2312" w:eastAsia="楷体_GB2312" w:cs="楷体_GB2312"/>
          <w:sz w:val="30"/>
          <w:szCs w:val="30"/>
          <w:lang w:val="en-US" w:eastAsia="zh-CN"/>
        </w:rPr>
        <w:t xml:space="preserve"> </w:t>
      </w: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第一章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 xml:space="preserve">总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 w:hAnsi="仿宋" w:eastAsia="仿宋"/>
          <w:sz w:val="32"/>
          <w:szCs w:val="32"/>
        </w:rPr>
      </w:pPr>
      <w:r>
        <w:rPr>
          <w:rFonts w:hint="eastAsia" w:ascii="仿宋_GB2312" w:hAnsi="Arial" w:eastAsia="仿宋_GB2312" w:cs="Arial"/>
          <w:b/>
          <w:bCs/>
          <w:kern w:val="0"/>
          <w:sz w:val="32"/>
          <w:szCs w:val="32"/>
        </w:rPr>
        <w:t>第一条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为加强</w:t>
      </w:r>
      <w:r>
        <w:rPr>
          <w:rFonts w:hint="eastAsia" w:ascii="仿宋" w:hAnsi="仿宋" w:eastAsia="仿宋"/>
          <w:sz w:val="32"/>
          <w:szCs w:val="32"/>
          <w:lang w:eastAsia="zh-CN"/>
        </w:rPr>
        <w:t>铜陵国元典当有限责任公司</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公司</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仿宋" w:hAnsi="仿宋" w:eastAsia="仿宋"/>
          <w:sz w:val="32"/>
          <w:szCs w:val="32"/>
        </w:rPr>
        <w:t>信息公开工作，</w:t>
      </w:r>
      <w:r>
        <w:rPr>
          <w:rFonts w:hint="eastAsia" w:ascii="仿宋_GB2312" w:hAnsi="Arial" w:eastAsia="仿宋_GB2312" w:cs="Arial"/>
          <w:bCs/>
          <w:kern w:val="0"/>
          <w:sz w:val="32"/>
          <w:szCs w:val="32"/>
        </w:rPr>
        <w:t>打造阳光国企，</w:t>
      </w:r>
      <w:r>
        <w:rPr>
          <w:rFonts w:hint="eastAsia" w:ascii="仿宋" w:hAnsi="仿宋" w:eastAsia="仿宋"/>
          <w:sz w:val="32"/>
          <w:szCs w:val="32"/>
        </w:rPr>
        <w:t>依据《中华人民共和国政府信息公开条例》《安徽省政府信息公开办法》等国家有关法律法规和省国资委等上级主管部门关于信息公开工作的意见和要求，结合</w:t>
      </w:r>
      <w:r>
        <w:rPr>
          <w:rFonts w:hint="eastAsia" w:ascii="仿宋" w:hAnsi="仿宋" w:eastAsia="仿宋"/>
          <w:sz w:val="32"/>
          <w:szCs w:val="32"/>
          <w:lang w:eastAsia="zh-CN"/>
        </w:rPr>
        <w:t>公司</w:t>
      </w:r>
      <w:r>
        <w:rPr>
          <w:rFonts w:hint="eastAsia" w:ascii="仿宋" w:hAnsi="仿宋" w:eastAsia="仿宋"/>
          <w:sz w:val="32"/>
          <w:szCs w:val="32"/>
        </w:rPr>
        <w:t>实际情况，制定本办法。</w:t>
      </w:r>
    </w:p>
    <w:p>
      <w:pPr>
        <w:spacing w:line="560" w:lineRule="exact"/>
        <w:ind w:firstLine="643" w:firstLineChars="200"/>
        <w:rPr>
          <w:rFonts w:hint="eastAsia"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本办法所称“信息”是指</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在从事生产经营活动中形成的涉及公众切身利益的企业信息，以及法律法规明确规定应当公开的企业信息。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信息公开应遵循下列基本原则：</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(一)坚持依法合规。坚决遵守国家法律法规和上级主管单位相关规定，严格保护国家秘密、商业秘密和公司秘密安全，不得危及国家安全、公共安全、经济安全和社会稳定。</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(二)强化责任落实。公司按照“谁形成谁公开，谁公开谁负责”的要求，拟公开信息的相关部门作为责任主体，对所公开的信息负责。</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(三)确保真实准确。遵循公正、公平、便民、及时、准确的原则，确保公开的信息内容真实、数据准确、公开及时，不得有虚假记载、误导性陈述或者重大遗漏。</w:t>
      </w:r>
    </w:p>
    <w:p>
      <w:pPr>
        <w:spacing w:line="560" w:lineRule="exact"/>
        <w:jc w:val="center"/>
        <w:rPr>
          <w:rFonts w:ascii="仿宋_GB2312" w:hAnsi="Arial" w:eastAsia="仿宋_GB2312" w:cs="Arial"/>
          <w:b/>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第二章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信息公开的职责分工</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四</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综合计财部</w:t>
      </w:r>
      <w:r>
        <w:rPr>
          <w:rFonts w:hint="eastAsia" w:ascii="仿宋_GB2312" w:hAnsi="Arial" w:eastAsia="仿宋_GB2312" w:cs="Arial"/>
          <w:bCs/>
          <w:kern w:val="0"/>
          <w:sz w:val="32"/>
          <w:szCs w:val="32"/>
        </w:rPr>
        <w:t>是信息公开工作的归口管理部门，主要职责包括：</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（一）制定</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信息公开管理相关制度规范;</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（二）组织和协调对拟公开信息的收集与汇总;</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（三）确定信息公开渠道和载体，统一对外发布信息;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（四）对拟公开信息进行保密审查；</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（五）跟踪信息公开工作的开展运行情况;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（六）负责信息公开相关文件、资料的管理;</w:t>
      </w:r>
    </w:p>
    <w:p>
      <w:pPr>
        <w:spacing w:line="560" w:lineRule="exact"/>
        <w:ind w:firstLine="640" w:firstLineChars="200"/>
        <w:rPr>
          <w:rFonts w:hint="eastAsia" w:ascii="仿宋_GB2312" w:hAnsi="Arial" w:eastAsia="仿宋_GB2312" w:cs="Arial"/>
          <w:bCs/>
          <w:kern w:val="0"/>
          <w:sz w:val="32"/>
          <w:szCs w:val="32"/>
          <w:lang w:val="en-US" w:eastAsia="zh-CN"/>
        </w:rPr>
      </w:pPr>
      <w:r>
        <w:rPr>
          <w:rFonts w:hint="eastAsia" w:ascii="仿宋_GB2312" w:hAnsi="Arial" w:eastAsia="仿宋_GB2312" w:cs="Arial"/>
          <w:bCs/>
          <w:kern w:val="0"/>
          <w:sz w:val="32"/>
          <w:szCs w:val="32"/>
        </w:rPr>
        <w:t>（七）牵头开展</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信息公开相关的其他工作</w:t>
      </w:r>
      <w:r>
        <w:rPr>
          <w:rFonts w:hint="eastAsia" w:ascii="仿宋_GB2312" w:hAnsi="Arial" w:eastAsia="仿宋_GB2312" w:cs="Arial"/>
          <w:bCs/>
          <w:kern w:val="0"/>
          <w:sz w:val="32"/>
          <w:szCs w:val="32"/>
          <w:lang w:val="en-US" w:eastAsia="zh-CN"/>
        </w:rPr>
        <w:t>；</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lang w:val="en-US" w:eastAsia="zh-CN"/>
        </w:rPr>
        <w:t>八</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负责信息公开意识形态安全审核、新闻宣传中涉及信息公开内容的审定工作。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五</w:t>
      </w:r>
      <w:r>
        <w:rPr>
          <w:rFonts w:hint="eastAsia" w:ascii="仿宋_GB2312" w:hAnsi="Arial" w:eastAsia="仿宋_GB2312" w:cs="Arial"/>
          <w:b/>
          <w:bCs/>
          <w:kern w:val="0"/>
          <w:sz w:val="32"/>
          <w:szCs w:val="32"/>
        </w:rPr>
        <w:t>条</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lang w:val="en-US" w:eastAsia="zh-CN"/>
        </w:rPr>
        <w:t>综合计财</w:t>
      </w:r>
      <w:r>
        <w:rPr>
          <w:rFonts w:hint="eastAsia" w:ascii="仿宋_GB2312" w:hAnsi="Arial" w:eastAsia="仿宋_GB2312" w:cs="Arial"/>
          <w:bCs/>
          <w:kern w:val="0"/>
          <w:sz w:val="32"/>
          <w:szCs w:val="32"/>
        </w:rPr>
        <w:t>部负责在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本部</w:t>
      </w:r>
      <w:r>
        <w:rPr>
          <w:rFonts w:hint="eastAsia" w:ascii="仿宋_GB2312" w:hAnsi="Arial" w:eastAsia="仿宋_GB2312" w:cs="Arial"/>
          <w:bCs/>
          <w:kern w:val="0"/>
          <w:sz w:val="32"/>
          <w:szCs w:val="32"/>
        </w:rPr>
        <w:t>官方网站设置信息公开专栏，按照规定目录进行信息发布工作</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信息内容由职责分工涉及的归口业务部门负责审核。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六</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信息公开主体应当确定至少一名工作人员为信息公开工作联络人，具体负责本</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信息公开工作的开展、协调和落实，解决和反映信息公开工作中遇到的问题和困难。</w:t>
      </w:r>
      <w:r>
        <w:rPr>
          <w:rFonts w:hint="eastAsia" w:ascii="仿宋_GB2312" w:hAnsi="Arial" w:eastAsia="仿宋_GB2312" w:cs="Arial"/>
          <w:bCs/>
          <w:kern w:val="0"/>
          <w:sz w:val="32"/>
          <w:szCs w:val="32"/>
          <w:lang w:val="en-US" w:eastAsia="zh-CN"/>
        </w:rPr>
        <w:t>公司</w:t>
      </w:r>
      <w:r>
        <w:rPr>
          <w:rFonts w:hint="eastAsia" w:ascii="仿宋_GB2312" w:hAnsi="Arial" w:eastAsia="仿宋_GB2312" w:cs="Arial"/>
          <w:bCs/>
          <w:kern w:val="0"/>
          <w:sz w:val="32"/>
          <w:szCs w:val="32"/>
        </w:rPr>
        <w:t>的信息公开工作联络人名单应报</w:t>
      </w:r>
      <w:r>
        <w:rPr>
          <w:rFonts w:hint="eastAsia" w:ascii="仿宋_GB2312" w:hAnsi="Arial" w:eastAsia="仿宋_GB2312" w:cs="Arial"/>
          <w:bCs/>
          <w:kern w:val="0"/>
          <w:sz w:val="32"/>
          <w:szCs w:val="32"/>
          <w:lang w:val="en-US" w:eastAsia="zh-CN"/>
        </w:rPr>
        <w:t>安徽国元投资</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备案。</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第三章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信息公开的范围</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七</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信息公开内容依照《安徽省属企业信息公开基本目录规范》等文件要求确定。具体包括以下内容：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（一）企业简介、机构领导等企业信息；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（二）企业经营情况、国有资产保值增值、财务状况等经济信息；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（三）重大决策、重大人事任免、重大项目安排、大额资金运作等“三重一大”事项；</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（四）企业社会责任履行情况；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（五）有关部门依法要求公开的监督检查问题整改落实情况；</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（六）企业党建信息；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（七）其他依照法律法规规定应当主动公开的信息。</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八</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下列信息不予公开：</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（一）涉及国家秘密、商业秘密和个人隐私的信息；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（二）公开后可能会影响检查、调查、取证等执法活动的信息；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（三）</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与相关方达成保密协议式条款的约定信息；</w:t>
      </w:r>
    </w:p>
    <w:p>
      <w:pPr>
        <w:spacing w:line="560" w:lineRule="exact"/>
        <w:ind w:firstLine="640" w:firstLineChars="200"/>
        <w:rPr>
          <w:rFonts w:ascii="仿宋_GB2312" w:hAnsi="Arial" w:eastAsia="仿宋_GB2312" w:cs="Arial"/>
          <w:bCs/>
          <w:kern w:val="0"/>
          <w:sz w:val="32"/>
          <w:szCs w:val="32"/>
        </w:rPr>
      </w:pPr>
      <w:r>
        <w:rPr>
          <w:rFonts w:hint="eastAsia" w:ascii="仿宋_GB2312" w:hAnsi="Arial" w:eastAsia="仿宋_GB2312" w:cs="Arial"/>
          <w:bCs/>
          <w:kern w:val="0"/>
          <w:sz w:val="32"/>
          <w:szCs w:val="32"/>
        </w:rPr>
        <w:t>（四）其他法律、行政法规规定不予公开的信息。</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第四章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信息公开的方式和程序</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九</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color w:val="auto"/>
          <w:kern w:val="0"/>
          <w:sz w:val="32"/>
          <w:szCs w:val="32"/>
          <w:lang w:val="en-US" w:eastAsia="zh-CN"/>
        </w:rPr>
        <w:t>公司以公司本部</w:t>
      </w:r>
      <w:r>
        <w:rPr>
          <w:rFonts w:hint="eastAsia" w:ascii="仿宋_GB2312" w:hAnsi="Arial" w:eastAsia="仿宋_GB2312" w:cs="Arial"/>
          <w:bCs/>
          <w:kern w:val="0"/>
          <w:sz w:val="32"/>
          <w:szCs w:val="32"/>
        </w:rPr>
        <w:t>官方网站</w:t>
      </w:r>
      <w:r>
        <w:rPr>
          <w:rFonts w:hint="eastAsia" w:ascii="仿宋_GB2312" w:hAnsi="Arial" w:eastAsia="仿宋_GB2312" w:cs="Arial"/>
          <w:bCs/>
          <w:kern w:val="0"/>
          <w:sz w:val="32"/>
          <w:szCs w:val="32"/>
          <w:lang w:val="en-US" w:eastAsia="zh-CN"/>
        </w:rPr>
        <w:t>为</w:t>
      </w:r>
      <w:r>
        <w:rPr>
          <w:rFonts w:hint="eastAsia" w:ascii="仿宋_GB2312" w:hAnsi="Arial" w:eastAsia="仿宋_GB2312" w:cs="Arial"/>
          <w:bCs/>
          <w:kern w:val="0"/>
          <w:sz w:val="32"/>
          <w:szCs w:val="32"/>
        </w:rPr>
        <w:t>企业信息公开的主要载体，根据需要和拟公开信息性质还可通过 “两微一端”、企业信息公示、社会责任报告发布、新闻宣传等多种方式，进行企业信息公开。</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信息公开主体负责对所公开的信息进行更新。若公开信息发生变更，要按照相关规定及时更新</w:t>
      </w:r>
      <w:r>
        <w:rPr>
          <w:rFonts w:hint="eastAsia" w:ascii="仿宋_GB2312" w:hAnsi="Arial" w:eastAsia="仿宋_GB2312" w:cs="Arial"/>
          <w:bCs/>
          <w:kern w:val="0"/>
          <w:sz w:val="32"/>
          <w:szCs w:val="32"/>
          <w:lang w:eastAsia="zh-CN"/>
        </w:rPr>
        <w:t>，</w:t>
      </w:r>
      <w:r>
        <w:rPr>
          <w:rFonts w:hint="eastAsia" w:ascii="仿宋_GB2312" w:hAnsi="Arial" w:eastAsia="仿宋_GB2312" w:cs="Arial"/>
          <w:bCs/>
          <w:kern w:val="0"/>
          <w:sz w:val="32"/>
          <w:szCs w:val="32"/>
        </w:rPr>
        <w:t>原则上每年进行一次全面审核。</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一</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需要在</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层面公开的信息，信息公开主体参照</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网站信息发布的程序办理。</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综合管理部</w:t>
      </w:r>
      <w:r>
        <w:rPr>
          <w:rFonts w:hint="eastAsia" w:ascii="仿宋_GB2312" w:hAnsi="Arial" w:eastAsia="仿宋_GB2312" w:cs="Arial"/>
          <w:bCs/>
          <w:kern w:val="0"/>
          <w:sz w:val="32"/>
          <w:szCs w:val="32"/>
        </w:rPr>
        <w:t>负责对拟公开信息内容进行审查。</w:t>
      </w:r>
    </w:p>
    <w:p>
      <w:pPr>
        <w:spacing w:line="560" w:lineRule="exact"/>
        <w:jc w:val="center"/>
        <w:rPr>
          <w:rFonts w:ascii="黑体" w:hAnsi="黑体" w:eastAsia="黑体"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 xml:space="preserve">第五章 </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信息公开的监督与保障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二</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有下列情形之一的，由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责令改正;情节严重的，对相关责任人员依法、依纪作出处理:</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（一）未经</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批准私自对外公开企业信息的；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（二）公开的信息有虚假记载、误导性陈述或重大遗漏的；</w:t>
      </w:r>
    </w:p>
    <w:p>
      <w:pPr>
        <w:spacing w:line="560" w:lineRule="exact"/>
        <w:ind w:firstLine="640" w:firstLineChars="200"/>
        <w:rPr>
          <w:rFonts w:hint="eastAsia" w:ascii="仿宋_GB2312" w:hAnsi="Arial" w:eastAsia="仿宋_GB2312" w:cs="Arial"/>
          <w:bCs/>
          <w:kern w:val="0"/>
          <w:sz w:val="32"/>
          <w:szCs w:val="32"/>
        </w:rPr>
      </w:pPr>
      <w:r>
        <w:rPr>
          <w:rFonts w:hint="eastAsia" w:ascii="仿宋_GB2312" w:hAnsi="Arial" w:eastAsia="仿宋_GB2312" w:cs="Arial"/>
          <w:bCs/>
          <w:kern w:val="0"/>
          <w:sz w:val="32"/>
          <w:szCs w:val="32"/>
        </w:rPr>
        <w:t>（三）违反国家和安徽省有关法律法规和本办法规定的其他行为。</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三</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信息公开工作所需经费纳入</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rPr>
        <w:t>年度预算中予以统筹保障。</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四</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要加强信息公开的舆情监测、收集和处置工作，一旦发现因信息公开引起的重大舆情反应，应及时报告，并采取措施及时妥善处理。</w:t>
      </w:r>
    </w:p>
    <w:p>
      <w:pPr>
        <w:spacing w:line="560" w:lineRule="exact"/>
        <w:ind w:firstLine="640" w:firstLineChars="200"/>
        <w:rPr>
          <w:rFonts w:ascii="仿宋_GB2312" w:hAnsi="Arial" w:eastAsia="仿宋_GB2312" w:cs="Arial"/>
          <w:bCs/>
          <w:kern w:val="0"/>
          <w:sz w:val="32"/>
          <w:szCs w:val="32"/>
        </w:rPr>
      </w:pPr>
    </w:p>
    <w:p>
      <w:pPr>
        <w:spacing w:line="560" w:lineRule="exact"/>
        <w:jc w:val="center"/>
        <w:rPr>
          <w:rFonts w:ascii="黑体" w:hAnsi="黑体" w:eastAsia="黑体" w:cs="Arial"/>
          <w:bCs/>
          <w:kern w:val="0"/>
          <w:sz w:val="32"/>
          <w:szCs w:val="32"/>
        </w:rPr>
      </w:pPr>
      <w:r>
        <w:rPr>
          <w:rFonts w:hint="eastAsia" w:ascii="黑体" w:hAnsi="黑体" w:eastAsia="黑体" w:cs="Arial"/>
          <w:bCs/>
          <w:kern w:val="0"/>
          <w:sz w:val="32"/>
          <w:szCs w:val="32"/>
        </w:rPr>
        <w:t>第六章</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附</w:t>
      </w:r>
      <w:r>
        <w:rPr>
          <w:rFonts w:hint="eastAsia" w:ascii="黑体" w:hAnsi="黑体" w:eastAsia="黑体" w:cs="Arial"/>
          <w:bCs/>
          <w:kern w:val="0"/>
          <w:sz w:val="32"/>
          <w:szCs w:val="32"/>
          <w:lang w:val="en-US" w:eastAsia="zh-CN"/>
        </w:rPr>
        <w:t xml:space="preserve">  </w:t>
      </w:r>
      <w:r>
        <w:rPr>
          <w:rFonts w:hint="eastAsia" w:ascii="黑体" w:hAnsi="黑体" w:eastAsia="黑体" w:cs="Arial"/>
          <w:bCs/>
          <w:kern w:val="0"/>
          <w:sz w:val="32"/>
          <w:szCs w:val="32"/>
        </w:rPr>
        <w:t>则</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第十</w:t>
      </w:r>
      <w:r>
        <w:rPr>
          <w:rFonts w:hint="eastAsia" w:ascii="仿宋_GB2312" w:hAnsi="Arial" w:eastAsia="仿宋_GB2312" w:cs="Arial"/>
          <w:b/>
          <w:bCs/>
          <w:kern w:val="0"/>
          <w:sz w:val="32"/>
          <w:szCs w:val="32"/>
          <w:lang w:val="en-US" w:eastAsia="zh-CN"/>
        </w:rPr>
        <w:t>五</w:t>
      </w:r>
      <w:r>
        <w:rPr>
          <w:rFonts w:hint="eastAsia" w:ascii="仿宋_GB2312" w:hAnsi="Arial" w:eastAsia="仿宋_GB2312" w:cs="Arial"/>
          <w:b/>
          <w:bCs/>
          <w:kern w:val="0"/>
          <w:sz w:val="32"/>
          <w:szCs w:val="32"/>
        </w:rPr>
        <w:t xml:space="preserve">条 </w:t>
      </w:r>
      <w:r>
        <w:rPr>
          <w:rFonts w:hint="eastAsia" w:ascii="仿宋_GB2312" w:hAnsi="Arial" w:eastAsia="仿宋_GB2312" w:cs="Arial"/>
          <w:b/>
          <w:bCs/>
          <w:kern w:val="0"/>
          <w:sz w:val="32"/>
          <w:szCs w:val="32"/>
          <w:lang w:val="en-US" w:eastAsia="zh-CN"/>
        </w:rPr>
        <w:t xml:space="preserve"> </w:t>
      </w:r>
      <w:r>
        <w:rPr>
          <w:rFonts w:hint="eastAsia" w:ascii="仿宋_GB2312" w:hAnsi="Arial" w:eastAsia="仿宋_GB2312" w:cs="Arial"/>
          <w:bCs/>
          <w:kern w:val="0"/>
          <w:sz w:val="32"/>
          <w:szCs w:val="32"/>
        </w:rPr>
        <w:t>本办法由</w:t>
      </w:r>
      <w:r>
        <w:rPr>
          <w:rFonts w:hint="eastAsia" w:ascii="仿宋_GB2312" w:hAnsi="Arial" w:eastAsia="仿宋_GB2312" w:cs="Arial"/>
          <w:bCs/>
          <w:kern w:val="0"/>
          <w:sz w:val="32"/>
          <w:szCs w:val="32"/>
          <w:lang w:eastAsia="zh-CN"/>
        </w:rPr>
        <w:t>公司</w:t>
      </w:r>
      <w:r>
        <w:rPr>
          <w:rFonts w:hint="eastAsia" w:ascii="仿宋_GB2312" w:hAnsi="Arial" w:eastAsia="仿宋_GB2312" w:cs="Arial"/>
          <w:bCs/>
          <w:kern w:val="0"/>
          <w:sz w:val="32"/>
          <w:szCs w:val="32"/>
          <w:lang w:val="en-US" w:eastAsia="zh-CN"/>
        </w:rPr>
        <w:t>综合计财部</w:t>
      </w:r>
      <w:r>
        <w:rPr>
          <w:rFonts w:hint="eastAsia" w:ascii="仿宋_GB2312" w:hAnsi="Arial" w:eastAsia="仿宋_GB2312" w:cs="Arial"/>
          <w:bCs/>
          <w:kern w:val="0"/>
          <w:sz w:val="32"/>
          <w:szCs w:val="32"/>
        </w:rPr>
        <w:t>负责解释。</w:t>
      </w:r>
    </w:p>
    <w:p>
      <w:pPr>
        <w:spacing w:line="560" w:lineRule="exact"/>
        <w:ind w:firstLine="643" w:firstLineChars="200"/>
        <w:rPr>
          <w:rFonts w:ascii="仿宋_GB2312" w:hAnsi="Arial" w:eastAsia="仿宋_GB2312" w:cs="Arial"/>
          <w:bCs/>
          <w:kern w:val="0"/>
          <w:sz w:val="32"/>
          <w:szCs w:val="32"/>
        </w:rPr>
      </w:pPr>
      <w:r>
        <w:rPr>
          <w:rFonts w:hint="eastAsia" w:ascii="仿宋_GB2312" w:hAnsi="Arial" w:eastAsia="仿宋_GB2312" w:cs="Arial"/>
          <w:b/>
          <w:bCs/>
          <w:kern w:val="0"/>
          <w:sz w:val="32"/>
          <w:szCs w:val="32"/>
        </w:rPr>
        <w:t>第</w:t>
      </w:r>
      <w:r>
        <w:rPr>
          <w:rFonts w:hint="eastAsia" w:ascii="仿宋_GB2312" w:hAnsi="Arial" w:eastAsia="仿宋_GB2312" w:cs="Arial"/>
          <w:b/>
          <w:bCs/>
          <w:kern w:val="0"/>
          <w:sz w:val="32"/>
          <w:szCs w:val="32"/>
          <w:lang w:val="en-US" w:eastAsia="zh-CN"/>
        </w:rPr>
        <w:t>十六</w:t>
      </w:r>
      <w:r>
        <w:rPr>
          <w:rFonts w:hint="eastAsia" w:ascii="仿宋_GB2312" w:hAnsi="Arial" w:eastAsia="仿宋_GB2312" w:cs="Arial"/>
          <w:b/>
          <w:bCs/>
          <w:kern w:val="0"/>
          <w:sz w:val="32"/>
          <w:szCs w:val="32"/>
        </w:rPr>
        <w:t>条</w:t>
      </w:r>
      <w:r>
        <w:rPr>
          <w:rFonts w:hint="eastAsia" w:ascii="仿宋_GB2312" w:hAnsi="Arial" w:eastAsia="仿宋_GB2312" w:cs="Arial"/>
          <w:bCs/>
          <w:kern w:val="0"/>
          <w:sz w:val="32"/>
          <w:szCs w:val="32"/>
        </w:rPr>
        <w:t xml:space="preserve"> </w:t>
      </w:r>
      <w:r>
        <w:rPr>
          <w:rFonts w:hint="eastAsia" w:ascii="仿宋_GB2312" w:hAnsi="Arial" w:eastAsia="仿宋_GB2312" w:cs="Arial"/>
          <w:bCs/>
          <w:kern w:val="0"/>
          <w:sz w:val="32"/>
          <w:szCs w:val="32"/>
          <w:lang w:val="en-US" w:eastAsia="zh-CN"/>
        </w:rPr>
        <w:t xml:space="preserve"> </w:t>
      </w:r>
      <w:r>
        <w:rPr>
          <w:rFonts w:hint="eastAsia" w:ascii="仿宋_GB2312" w:hAnsi="Arial" w:eastAsia="仿宋_GB2312" w:cs="Arial"/>
          <w:bCs/>
          <w:kern w:val="0"/>
          <w:sz w:val="32"/>
          <w:szCs w:val="32"/>
        </w:rPr>
        <w:t>本办法自印发之日起施行。</w:t>
      </w:r>
    </w:p>
    <w:p>
      <w:pPr>
        <w:spacing w:line="560" w:lineRule="exact"/>
        <w:ind w:firstLine="640" w:firstLineChars="200"/>
        <w:rPr>
          <w:rFonts w:ascii="仿宋_GB2312" w:hAnsi="Arial" w:eastAsia="仿宋_GB2312" w:cs="Arial"/>
          <w:bCs/>
          <w:kern w:val="0"/>
          <w:sz w:val="32"/>
          <w:szCs w:val="32"/>
        </w:rPr>
      </w:pPr>
    </w:p>
    <w:p>
      <w:pPr>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pStyle w:val="2"/>
        <w:ind w:left="0" w:leftChars="0" w:firstLine="0" w:firstLineChars="0"/>
        <w:rPr>
          <w:rFonts w:ascii="方正小标宋简体" w:eastAsia="方正小标宋简体"/>
          <w:sz w:val="44"/>
          <w:szCs w:val="32"/>
        </w:rPr>
      </w:pPr>
      <w:r>
        <w:rPr>
          <w:rFonts w:hint="eastAsia" w:ascii="仿宋" w:hAnsi="仿宋" w:eastAsia="仿宋" w:cs="仿宋"/>
          <w:sz w:val="32"/>
          <w:szCs w:val="32"/>
          <w:u w:val="single"/>
          <w:lang w:val="en-US" w:eastAsia="zh-CN"/>
        </w:rPr>
        <w:t>铜陵国元典当综合计财部           2022年11月4日印发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15032"/>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lNzBjYjZhNmUyMDNjNTQ3Y2NlNmZmZGM5MGFlYTMifQ=="/>
  </w:docVars>
  <w:rsids>
    <w:rsidRoot w:val="0005684A"/>
    <w:rsid w:val="00006E7D"/>
    <w:rsid w:val="00020B57"/>
    <w:rsid w:val="0005684A"/>
    <w:rsid w:val="0007406D"/>
    <w:rsid w:val="00076C5A"/>
    <w:rsid w:val="000C0C42"/>
    <w:rsid w:val="000E004C"/>
    <w:rsid w:val="00117E54"/>
    <w:rsid w:val="0015412D"/>
    <w:rsid w:val="0018198A"/>
    <w:rsid w:val="00192CFC"/>
    <w:rsid w:val="001B5E6A"/>
    <w:rsid w:val="001F7274"/>
    <w:rsid w:val="00200B86"/>
    <w:rsid w:val="002263C9"/>
    <w:rsid w:val="002461DD"/>
    <w:rsid w:val="002D1E1E"/>
    <w:rsid w:val="002F236E"/>
    <w:rsid w:val="00397835"/>
    <w:rsid w:val="003C508E"/>
    <w:rsid w:val="004009F6"/>
    <w:rsid w:val="00443B6D"/>
    <w:rsid w:val="00474C04"/>
    <w:rsid w:val="00632E14"/>
    <w:rsid w:val="006500A9"/>
    <w:rsid w:val="00662E9F"/>
    <w:rsid w:val="006B1CD1"/>
    <w:rsid w:val="006D2BA1"/>
    <w:rsid w:val="00775C69"/>
    <w:rsid w:val="00943762"/>
    <w:rsid w:val="00964E52"/>
    <w:rsid w:val="00985A41"/>
    <w:rsid w:val="00A5383F"/>
    <w:rsid w:val="00A90390"/>
    <w:rsid w:val="00A93B49"/>
    <w:rsid w:val="00AC54C7"/>
    <w:rsid w:val="00B02E4F"/>
    <w:rsid w:val="00B0455D"/>
    <w:rsid w:val="00C037F0"/>
    <w:rsid w:val="00C10CD3"/>
    <w:rsid w:val="00C17A54"/>
    <w:rsid w:val="00C361D9"/>
    <w:rsid w:val="00C7193A"/>
    <w:rsid w:val="00C80720"/>
    <w:rsid w:val="00C81656"/>
    <w:rsid w:val="00C82C9D"/>
    <w:rsid w:val="00CA5218"/>
    <w:rsid w:val="00D04034"/>
    <w:rsid w:val="00D13157"/>
    <w:rsid w:val="00D274E1"/>
    <w:rsid w:val="00DA56B6"/>
    <w:rsid w:val="00DD4BBF"/>
    <w:rsid w:val="00DE603A"/>
    <w:rsid w:val="00E14F11"/>
    <w:rsid w:val="00E24E5E"/>
    <w:rsid w:val="00E939B0"/>
    <w:rsid w:val="00E942FC"/>
    <w:rsid w:val="00EA478A"/>
    <w:rsid w:val="00EC3B83"/>
    <w:rsid w:val="00ED287A"/>
    <w:rsid w:val="00F9486B"/>
    <w:rsid w:val="00FB0149"/>
    <w:rsid w:val="00FC266A"/>
    <w:rsid w:val="00FD6AAA"/>
    <w:rsid w:val="044827D5"/>
    <w:rsid w:val="05281199"/>
    <w:rsid w:val="0E71641A"/>
    <w:rsid w:val="0EF34AB0"/>
    <w:rsid w:val="0F6E545E"/>
    <w:rsid w:val="160C7839"/>
    <w:rsid w:val="1E7F4B39"/>
    <w:rsid w:val="1F1442A6"/>
    <w:rsid w:val="20213564"/>
    <w:rsid w:val="20BC06E5"/>
    <w:rsid w:val="24EF27FE"/>
    <w:rsid w:val="264D28BD"/>
    <w:rsid w:val="2E63592A"/>
    <w:rsid w:val="31AA32BB"/>
    <w:rsid w:val="341D7B91"/>
    <w:rsid w:val="3C0D41F3"/>
    <w:rsid w:val="3D1F1DB6"/>
    <w:rsid w:val="3D91318F"/>
    <w:rsid w:val="3EDB63F2"/>
    <w:rsid w:val="3FEC556C"/>
    <w:rsid w:val="4124436F"/>
    <w:rsid w:val="43CB1019"/>
    <w:rsid w:val="441101DC"/>
    <w:rsid w:val="44787175"/>
    <w:rsid w:val="44887636"/>
    <w:rsid w:val="4A6766A0"/>
    <w:rsid w:val="4D994CFB"/>
    <w:rsid w:val="51206DA9"/>
    <w:rsid w:val="51BF4329"/>
    <w:rsid w:val="51E24026"/>
    <w:rsid w:val="585F1909"/>
    <w:rsid w:val="590D5D3B"/>
    <w:rsid w:val="5BF01B65"/>
    <w:rsid w:val="66254723"/>
    <w:rsid w:val="66EB5D3D"/>
    <w:rsid w:val="683E2938"/>
    <w:rsid w:val="6BAE3435"/>
    <w:rsid w:val="6DA33BF9"/>
    <w:rsid w:val="6F670FD3"/>
    <w:rsid w:val="71096180"/>
    <w:rsid w:val="716F2D8B"/>
    <w:rsid w:val="71C20E54"/>
    <w:rsid w:val="72E13808"/>
    <w:rsid w:val="7512044A"/>
    <w:rsid w:val="75CC6FF0"/>
    <w:rsid w:val="75E25897"/>
    <w:rsid w:val="766C3FFA"/>
    <w:rsid w:val="776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0" w:leftChars="0" w:firstLine="420" w:firstLineChars="200"/>
    </w:pPr>
    <w:rPr>
      <w:rFonts w:ascii="Arial" w:hAnsi="Arial" w:eastAsia="仿宋_GB2312"/>
      <w:sz w:val="28"/>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index 7"/>
    <w:basedOn w:val="1"/>
    <w:next w:val="1"/>
    <w:qFormat/>
    <w:uiPriority w:val="0"/>
    <w:pPr>
      <w:ind w:left="252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1774</Words>
  <Characters>1788</Characters>
  <Lines>15</Lines>
  <Paragraphs>4</Paragraphs>
  <TotalTime>0</TotalTime>
  <ScaleCrop>false</ScaleCrop>
  <LinksUpToDate>false</LinksUpToDate>
  <CharactersWithSpaces>2025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2022-10-28T03:03:00Z</dcterms:created>
  <dc:creator>lenovo</dc:creator>
  <cp:lastModifiedBy>admin</cp:lastModifiedBy>
  <cp:lastPrinted>2022-10-31T08:19:00Z</cp:lastPrinted>
  <dcterms:modified xsi:type="dcterms:W3CDTF">2022-11-17T00:28:47Z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E4E3064DC28B4CAB8D29624878035624</vt:lpwstr>
  </property>
</Properties>
</file>