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34" w:rsidRPr="003038D9" w:rsidRDefault="003038D9" w:rsidP="003038D9">
      <w:pPr>
        <w:spacing w:line="560" w:lineRule="exact"/>
        <w:jc w:val="center"/>
        <w:rPr>
          <w:rFonts w:ascii="小标宋" w:eastAsia="小标宋" w:hAnsi="仿宋"/>
          <w:bCs/>
          <w:sz w:val="44"/>
          <w:szCs w:val="44"/>
          <w:shd w:val="clear" w:color="auto" w:fill="FFFFFF"/>
        </w:rPr>
      </w:pPr>
      <w:r w:rsidRPr="003038D9">
        <w:rPr>
          <w:rFonts w:ascii="小标宋" w:eastAsia="小标宋" w:hAnsi="仿宋" w:hint="eastAsia"/>
          <w:bCs/>
          <w:sz w:val="44"/>
          <w:szCs w:val="44"/>
          <w:shd w:val="clear" w:color="auto" w:fill="FFFFFF"/>
        </w:rPr>
        <w:t>国元期货有限公司</w:t>
      </w:r>
    </w:p>
    <w:p w:rsidR="0005684A" w:rsidRPr="003038D9" w:rsidRDefault="0005684A" w:rsidP="003038D9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  <w:r w:rsidRPr="003038D9">
        <w:rPr>
          <w:rFonts w:ascii="小标宋" w:eastAsia="小标宋" w:hAnsi="仿宋" w:hint="eastAsia"/>
          <w:bCs/>
          <w:sz w:val="44"/>
          <w:szCs w:val="44"/>
          <w:shd w:val="clear" w:color="auto" w:fill="FFFFFF"/>
        </w:rPr>
        <w:t>信息公开管理</w:t>
      </w:r>
      <w:r w:rsidR="00E942FC" w:rsidRPr="003038D9">
        <w:rPr>
          <w:rFonts w:ascii="小标宋" w:eastAsia="小标宋" w:hAnsi="仿宋" w:hint="eastAsia"/>
          <w:bCs/>
          <w:sz w:val="44"/>
          <w:szCs w:val="44"/>
          <w:shd w:val="clear" w:color="auto" w:fill="FFFFFF"/>
        </w:rPr>
        <w:t>办法</w:t>
      </w:r>
      <w:r w:rsidR="00D04034" w:rsidRPr="003038D9">
        <w:rPr>
          <w:rFonts w:ascii="小标宋" w:eastAsia="小标宋" w:hAnsi="仿宋" w:hint="eastAsia"/>
          <w:bCs/>
          <w:sz w:val="44"/>
          <w:szCs w:val="44"/>
          <w:shd w:val="clear" w:color="auto" w:fill="FFFFFF"/>
        </w:rPr>
        <w:t>（试行）</w:t>
      </w:r>
    </w:p>
    <w:p w:rsidR="0005684A" w:rsidRPr="003038D9" w:rsidRDefault="0005684A" w:rsidP="003038D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A478A" w:rsidRPr="003038D9" w:rsidRDefault="00EA478A" w:rsidP="003038D9">
      <w:pPr>
        <w:spacing w:line="560" w:lineRule="exact"/>
        <w:jc w:val="center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第一章 总</w:t>
      </w:r>
      <w:r w:rsidR="003038D9" w:rsidRPr="003038D9">
        <w:rPr>
          <w:rFonts w:ascii="仿宋" w:eastAsia="仿宋" w:hAnsi="仿宋" w:cs="Arial"/>
          <w:b/>
          <w:bCs/>
          <w:kern w:val="0"/>
          <w:sz w:val="32"/>
          <w:szCs w:val="32"/>
        </w:rPr>
        <w:t xml:space="preserve"> 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则</w:t>
      </w:r>
    </w:p>
    <w:p w:rsidR="00EA478A" w:rsidRPr="003038D9" w:rsidRDefault="00EA478A" w:rsidP="000A4D1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第一条</w:t>
      </w:r>
      <w:r w:rsidR="002461DD" w:rsidRPr="003038D9">
        <w:rPr>
          <w:rFonts w:ascii="仿宋" w:eastAsia="仿宋" w:hAnsi="仿宋" w:hint="eastAsia"/>
          <w:sz w:val="32"/>
          <w:szCs w:val="32"/>
        </w:rPr>
        <w:t xml:space="preserve"> </w:t>
      </w:r>
      <w:r w:rsidR="002461DD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为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加强</w:t>
      </w:r>
      <w:r w:rsidR="003038D9" w:rsidRPr="003038D9">
        <w:rPr>
          <w:rFonts w:ascii="仿宋" w:eastAsia="仿宋" w:hAnsi="仿宋" w:hint="eastAsia"/>
          <w:sz w:val="32"/>
          <w:szCs w:val="32"/>
        </w:rPr>
        <w:t>国元期货有限</w:t>
      </w:r>
      <w:r w:rsidR="002461DD" w:rsidRPr="003038D9">
        <w:rPr>
          <w:rFonts w:ascii="仿宋" w:eastAsia="仿宋" w:hAnsi="仿宋" w:hint="eastAsia"/>
          <w:sz w:val="32"/>
          <w:szCs w:val="32"/>
        </w:rPr>
        <w:t>公司（以下简称“</w:t>
      </w:r>
      <w:r w:rsidR="003038D9" w:rsidRPr="003038D9">
        <w:rPr>
          <w:rFonts w:ascii="仿宋" w:eastAsia="仿宋" w:hAnsi="仿宋" w:hint="eastAsia"/>
          <w:sz w:val="32"/>
          <w:szCs w:val="32"/>
        </w:rPr>
        <w:t>公司</w:t>
      </w:r>
      <w:r w:rsidR="002461DD" w:rsidRPr="003038D9">
        <w:rPr>
          <w:rFonts w:ascii="仿宋" w:eastAsia="仿宋" w:hAnsi="仿宋" w:hint="eastAsia"/>
          <w:sz w:val="32"/>
          <w:szCs w:val="32"/>
        </w:rPr>
        <w:t>”）信息公开工作，</w:t>
      </w:r>
      <w:r w:rsidR="002461DD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打造阳光国企，</w:t>
      </w:r>
      <w:r w:rsidR="003038D9" w:rsidRPr="003038D9">
        <w:rPr>
          <w:rFonts w:ascii="仿宋" w:eastAsia="仿宋" w:hAnsi="仿宋" w:hint="eastAsia"/>
          <w:sz w:val="32"/>
          <w:szCs w:val="32"/>
        </w:rPr>
        <w:t>参照</w:t>
      </w:r>
      <w:r w:rsidR="000A4D13">
        <w:rPr>
          <w:rFonts w:ascii="仿宋" w:eastAsia="仿宋" w:hAnsi="仿宋" w:hint="eastAsia"/>
          <w:sz w:val="32"/>
          <w:szCs w:val="32"/>
        </w:rPr>
        <w:t>《</w:t>
      </w:r>
      <w:r w:rsidR="000A4D13" w:rsidRPr="000A4D13">
        <w:rPr>
          <w:rFonts w:ascii="仿宋" w:eastAsia="仿宋" w:hAnsi="仿宋" w:hint="eastAsia"/>
          <w:sz w:val="32"/>
          <w:szCs w:val="32"/>
        </w:rPr>
        <w:t>国元证券股份有限公司信息公开管理办法（试行）</w:t>
      </w:r>
      <w:r w:rsidR="000A4D13">
        <w:rPr>
          <w:rFonts w:ascii="仿宋" w:eastAsia="仿宋" w:hAnsi="仿宋" w:hint="eastAsia"/>
          <w:sz w:val="32"/>
          <w:szCs w:val="32"/>
        </w:rPr>
        <w:t>》</w:t>
      </w:r>
      <w:r w:rsidR="00E24E5E" w:rsidRPr="003038D9">
        <w:rPr>
          <w:rFonts w:ascii="仿宋" w:eastAsia="仿宋" w:hAnsi="仿宋" w:hint="eastAsia"/>
          <w:sz w:val="32"/>
          <w:szCs w:val="32"/>
        </w:rPr>
        <w:t>，</w:t>
      </w:r>
      <w:r w:rsidR="003038D9" w:rsidRPr="003038D9">
        <w:rPr>
          <w:rFonts w:ascii="仿宋" w:eastAsia="仿宋" w:hAnsi="仿宋" w:hint="eastAsia"/>
          <w:sz w:val="32"/>
          <w:szCs w:val="32"/>
        </w:rPr>
        <w:t>结合公司实际情况，制定本办法。</w:t>
      </w:r>
    </w:p>
    <w:p w:rsidR="00985A41" w:rsidRPr="003038D9" w:rsidRDefault="00EA478A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第二条</w:t>
      </w:r>
      <w:r w:rsidR="00543847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 </w:t>
      </w:r>
      <w:r w:rsidR="00543847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本办法所称“信息”是指</w:t>
      </w:r>
      <w:r w:rsidR="003038D9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543847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在从事生产经营活动中形成的涉及公众切身利益的企业信息，以及法律法规明确规定应当公开的企业信息。</w:t>
      </w:r>
    </w:p>
    <w:p w:rsidR="003038D9" w:rsidRPr="003038D9" w:rsidRDefault="00985A41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第三条</w:t>
      </w:r>
      <w:r w:rsidR="00543847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 </w:t>
      </w:r>
      <w:r w:rsidR="00543847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本办法适用于</w:t>
      </w:r>
      <w:r w:rsidR="003038D9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543847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及子公司</w:t>
      </w:r>
      <w:r w:rsidR="000A4D13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  <w:r w:rsidR="000A4D13">
        <w:rPr>
          <w:rFonts w:ascii="仿宋_GB2312" w:eastAsia="仿宋_GB2312" w:hAnsi="Arial" w:cs="Arial" w:hint="eastAsia"/>
          <w:bCs/>
          <w:kern w:val="0"/>
          <w:sz w:val="32"/>
          <w:szCs w:val="32"/>
        </w:rPr>
        <w:t>子公司应根据本办法，结合自身实际，制定相关信息公开制度，并报公司备案</w:t>
      </w:r>
      <w:r w:rsidR="00543847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EA478A" w:rsidRPr="003038D9" w:rsidRDefault="00985A41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第四条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信息公开应遵循下列基本原则：</w:t>
      </w:r>
    </w:p>
    <w:p w:rsidR="00E24E5E" w:rsidRPr="003038D9" w:rsidRDefault="003038D9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kern w:val="0"/>
          <w:sz w:val="32"/>
          <w:szCs w:val="32"/>
        </w:rPr>
        <w:t>（一）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坚持依法合规。坚决遵守国家法律法规和上级主管单位相关规定，严格保护国家秘密、商业秘密和公司秘密安全，不得危及国家安全、公共安全、经济安全和社会稳定。</w:t>
      </w:r>
    </w:p>
    <w:p w:rsidR="00E24E5E" w:rsidRPr="003038D9" w:rsidRDefault="003038D9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kern w:val="0"/>
          <w:sz w:val="32"/>
          <w:szCs w:val="32"/>
        </w:rPr>
        <w:t>（二）</w:t>
      </w:r>
      <w:r w:rsidR="008C33B9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强化责任落实。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按照“谁形成谁公开，谁公开谁负责”的要求，拟公开信息的相关部门、各级子</w:t>
      </w:r>
      <w:r w:rsidR="004F0249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作为责任主体，对所公开的信息负责。</w:t>
      </w:r>
    </w:p>
    <w:p w:rsidR="00E24E5E" w:rsidRPr="003038D9" w:rsidRDefault="003038D9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kern w:val="0"/>
          <w:sz w:val="32"/>
          <w:szCs w:val="32"/>
        </w:rPr>
        <w:t>（三）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确保真实准确。遵循公正、公平、便民、及时、准确的原则，确保公开的信息内容真实、数据准确、公开及时，不得有虚假记载、误导性陈述或者重大遗漏。</w:t>
      </w:r>
    </w:p>
    <w:p w:rsidR="00E24E5E" w:rsidRPr="003038D9" w:rsidRDefault="00E24E5E" w:rsidP="003038D9">
      <w:pPr>
        <w:spacing w:line="560" w:lineRule="exact"/>
        <w:rPr>
          <w:rFonts w:ascii="仿宋" w:eastAsia="仿宋" w:hAnsi="仿宋" w:cs="Arial"/>
          <w:b/>
          <w:bCs/>
          <w:kern w:val="0"/>
          <w:sz w:val="32"/>
          <w:szCs w:val="32"/>
        </w:rPr>
      </w:pPr>
    </w:p>
    <w:p w:rsidR="00EA478A" w:rsidRPr="003038D9" w:rsidRDefault="00EA478A" w:rsidP="003038D9">
      <w:pPr>
        <w:spacing w:line="560" w:lineRule="exact"/>
        <w:jc w:val="center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第二章 信息公开的职责分工</w:t>
      </w:r>
    </w:p>
    <w:p w:rsidR="001F7274" w:rsidRPr="003038D9" w:rsidRDefault="00E24E5E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="002F236E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五</w:t>
      </w:r>
      <w:r w:rsidR="00EA478A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="001F7274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 </w:t>
      </w:r>
      <w:r w:rsidR="003038D9">
        <w:rPr>
          <w:rFonts w:ascii="仿宋" w:eastAsia="仿宋" w:hAnsi="仿宋" w:cs="Arial" w:hint="eastAsia"/>
          <w:bCs/>
          <w:kern w:val="0"/>
          <w:sz w:val="32"/>
          <w:szCs w:val="32"/>
        </w:rPr>
        <w:t>综合管理部</w:t>
      </w:r>
      <w:r w:rsidR="001F727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是信息公开工作的归口管理部门，主要职责包括：</w:t>
      </w:r>
    </w:p>
    <w:p w:rsidR="001F7274" w:rsidRPr="003038D9" w:rsidRDefault="001F7274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（一）制定</w:t>
      </w:r>
      <w:r w:rsid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信息公开管理相关制度规范;</w:t>
      </w:r>
    </w:p>
    <w:p w:rsidR="001F7274" w:rsidRPr="003038D9" w:rsidRDefault="001F7274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（二）组织和协调</w:t>
      </w:r>
      <w:r w:rsidR="000A4D13" w:rsidRPr="000A4D13">
        <w:rPr>
          <w:rFonts w:ascii="仿宋" w:eastAsia="仿宋" w:hAnsi="仿宋" w:cs="Arial" w:hint="eastAsia"/>
          <w:bCs/>
          <w:kern w:val="0"/>
          <w:sz w:val="32"/>
          <w:szCs w:val="32"/>
        </w:rPr>
        <w:t>各部门、子公司参与信息公开工作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;</w:t>
      </w:r>
    </w:p>
    <w:p w:rsidR="000A4D13" w:rsidRPr="000A4D13" w:rsidRDefault="000A4D13" w:rsidP="000A4D13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0A4D13">
        <w:rPr>
          <w:rFonts w:ascii="仿宋" w:eastAsia="仿宋" w:hAnsi="仿宋" w:cs="Arial" w:hint="eastAsia"/>
          <w:bCs/>
          <w:kern w:val="0"/>
          <w:sz w:val="32"/>
          <w:szCs w:val="32"/>
        </w:rPr>
        <w:t>（三）督促各部门、子公司及时完成信息公开;</w:t>
      </w:r>
    </w:p>
    <w:p w:rsidR="000A4D13" w:rsidRPr="000A4D13" w:rsidRDefault="000A4D13" w:rsidP="000A4D13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0A4D13">
        <w:rPr>
          <w:rFonts w:ascii="仿宋" w:eastAsia="仿宋" w:hAnsi="仿宋" w:cs="Arial" w:hint="eastAsia"/>
          <w:bCs/>
          <w:kern w:val="0"/>
          <w:sz w:val="32"/>
          <w:szCs w:val="32"/>
        </w:rPr>
        <w:t>（四）跟踪信息公开工作的运行情况;</w:t>
      </w:r>
    </w:p>
    <w:p w:rsidR="000A4D13" w:rsidRDefault="000A4D13" w:rsidP="000A4D13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0A4D13">
        <w:rPr>
          <w:rFonts w:ascii="仿宋" w:eastAsia="仿宋" w:hAnsi="仿宋" w:cs="Arial" w:hint="eastAsia"/>
          <w:bCs/>
          <w:kern w:val="0"/>
          <w:sz w:val="32"/>
          <w:szCs w:val="32"/>
        </w:rPr>
        <w:t>（五）牵头开展公司信息公开相关的其他工作。</w:t>
      </w:r>
    </w:p>
    <w:p w:rsidR="00A94DF7" w:rsidRDefault="000A4D13" w:rsidP="000A4D13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0A4D13">
        <w:rPr>
          <w:rFonts w:ascii="仿宋" w:eastAsia="仿宋" w:hAnsi="仿宋" w:cs="黑体" w:hint="eastAsia"/>
          <w:b/>
          <w:kern w:val="0"/>
          <w:sz w:val="32"/>
          <w:szCs w:val="32"/>
        </w:rPr>
        <w:t>第六条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</w:t>
      </w:r>
      <w:r w:rsidR="00A94DF7" w:rsidRPr="00A94DF7">
        <w:rPr>
          <w:rFonts w:ascii="仿宋_GB2312" w:eastAsia="仿宋_GB2312" w:hAnsi="Arial" w:cs="Arial" w:hint="eastAsia"/>
          <w:bCs/>
          <w:kern w:val="0"/>
          <w:sz w:val="32"/>
          <w:szCs w:val="32"/>
        </w:rPr>
        <w:t>合规稽核部负责信息公开的合规性稽核检查工作，并为信息公开工作提供法律支持与服务；涉及意识形态的信息公开内容应提前征询党群工作办公室意见。</w:t>
      </w:r>
    </w:p>
    <w:p w:rsidR="000A4D13" w:rsidRDefault="006D4D8A" w:rsidP="000A4D13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bookmarkStart w:id="0" w:name="_GoBack"/>
      <w:bookmarkEnd w:id="0"/>
      <w:r w:rsidRPr="000A4D13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Pr="000A4D13">
        <w:rPr>
          <w:rFonts w:ascii="仿宋" w:eastAsia="仿宋" w:hAnsi="仿宋" w:cs="Arial"/>
          <w:b/>
          <w:bCs/>
          <w:kern w:val="0"/>
          <w:sz w:val="32"/>
          <w:szCs w:val="32"/>
        </w:rPr>
        <w:t>七条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信息技术部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部负责在</w:t>
      </w:r>
      <w:r w:rsid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官方网站</w:t>
      </w:r>
      <w:r w:rsidR="00B0455D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设置信息公开专栏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985A41" w:rsidRPr="003038D9" w:rsidRDefault="00E24E5E" w:rsidP="000A4D13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="002F236E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八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="006D4D8A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相关部门是</w:t>
      </w:r>
      <w:r w:rsidR="006D4D8A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层面</w:t>
      </w:r>
      <w:r w:rsidR="00985A41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信息公开主体，负责提供、审核职责范围内的相关信息</w:t>
      </w:r>
      <w:r w:rsidR="00447641">
        <w:rPr>
          <w:rFonts w:ascii="仿宋" w:eastAsia="仿宋" w:hAnsi="仿宋" w:cs="Arial" w:hint="eastAsia"/>
          <w:bCs/>
          <w:kern w:val="0"/>
          <w:sz w:val="32"/>
          <w:szCs w:val="32"/>
        </w:rPr>
        <w:t>（各部门</w:t>
      </w:r>
      <w:r w:rsidR="00447641">
        <w:rPr>
          <w:rFonts w:ascii="仿宋" w:eastAsia="仿宋" w:hAnsi="仿宋" w:cs="Arial"/>
          <w:bCs/>
          <w:kern w:val="0"/>
          <w:sz w:val="32"/>
          <w:szCs w:val="32"/>
        </w:rPr>
        <w:t>职责分工详见附件</w:t>
      </w:r>
      <w:r w:rsidR="00447641">
        <w:rPr>
          <w:rFonts w:ascii="仿宋" w:eastAsia="仿宋" w:hAnsi="仿宋" w:cs="Arial" w:hint="eastAsia"/>
          <w:bCs/>
          <w:kern w:val="0"/>
          <w:sz w:val="32"/>
          <w:szCs w:val="32"/>
        </w:rPr>
        <w:t>）</w:t>
      </w:r>
      <w:r w:rsidR="00985A41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985A41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子</w:t>
      </w:r>
      <w:r w:rsidR="002D42AD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是</w:t>
      </w:r>
      <w:r w:rsidR="00B0455D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本</w:t>
      </w:r>
      <w:r w:rsidR="0094225C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层面信息公开主体，</w:t>
      </w:r>
      <w:r w:rsidR="00945A28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信息内容</w:t>
      </w:r>
      <w:r w:rsidR="00945A28">
        <w:rPr>
          <w:rFonts w:ascii="仿宋" w:eastAsia="仿宋" w:hAnsi="仿宋" w:cs="Arial" w:hint="eastAsia"/>
          <w:bCs/>
          <w:kern w:val="0"/>
          <w:sz w:val="32"/>
          <w:szCs w:val="32"/>
        </w:rPr>
        <w:t>经公司</w:t>
      </w:r>
      <w:r w:rsidR="00945A28">
        <w:rPr>
          <w:rFonts w:ascii="仿宋" w:eastAsia="仿宋" w:hAnsi="仿宋" w:cs="Arial"/>
          <w:bCs/>
          <w:kern w:val="0"/>
          <w:sz w:val="32"/>
          <w:szCs w:val="32"/>
        </w:rPr>
        <w:t>审核</w:t>
      </w:r>
      <w:r w:rsidR="00945A28">
        <w:rPr>
          <w:rFonts w:ascii="仿宋" w:eastAsia="仿宋" w:hAnsi="仿宋" w:cs="Arial" w:hint="eastAsia"/>
          <w:bCs/>
          <w:kern w:val="0"/>
          <w:sz w:val="32"/>
          <w:szCs w:val="32"/>
        </w:rPr>
        <w:t>通过</w:t>
      </w:r>
      <w:r w:rsidR="00945A28">
        <w:rPr>
          <w:rFonts w:ascii="仿宋" w:eastAsia="仿宋" w:hAnsi="仿宋" w:cs="Arial"/>
          <w:bCs/>
          <w:kern w:val="0"/>
          <w:sz w:val="32"/>
          <w:szCs w:val="32"/>
        </w:rPr>
        <w:t>后</w:t>
      </w:r>
      <w:r w:rsidR="00945A28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可以利用公司</w:t>
      </w:r>
      <w:r w:rsidR="00945A28">
        <w:rPr>
          <w:rFonts w:ascii="仿宋" w:eastAsia="仿宋" w:hAnsi="仿宋" w:cs="Arial" w:hint="eastAsia"/>
          <w:bCs/>
          <w:kern w:val="0"/>
          <w:sz w:val="32"/>
          <w:szCs w:val="32"/>
        </w:rPr>
        <w:t>官网发布公开信息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EA478A" w:rsidRDefault="00EA478A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="002F236E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九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="000A4D13">
        <w:rPr>
          <w:rFonts w:ascii="仿宋_GB2312" w:eastAsia="仿宋_GB2312" w:hAnsi="Arial" w:cs="Arial" w:hint="eastAsia"/>
          <w:bCs/>
          <w:kern w:val="0"/>
          <w:sz w:val="32"/>
          <w:szCs w:val="32"/>
        </w:rPr>
        <w:t>各信息公开主体应当确定至少一名工作人员为信息公开工作联络人，具体负责本部门、子公司信息公开工作的开展、协调和落实。</w:t>
      </w:r>
    </w:p>
    <w:p w:rsidR="00E24E5E" w:rsidRPr="003038D9" w:rsidRDefault="00E24E5E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EA478A" w:rsidRPr="00945A28" w:rsidRDefault="00EA478A" w:rsidP="00945A28">
      <w:pPr>
        <w:spacing w:line="560" w:lineRule="exact"/>
        <w:jc w:val="center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945A28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lastRenderedPageBreak/>
        <w:t>第三章 信息公开的范围</w:t>
      </w:r>
    </w:p>
    <w:p w:rsidR="00EA478A" w:rsidRPr="003038D9" w:rsidRDefault="00EA478A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="002F236E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十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="00E24E5E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 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公开</w:t>
      </w:r>
      <w:r w:rsidR="009F2530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内容依照《安徽省属企业信息公开基本目录规范》等文件要求确定。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具体包括以下内容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：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（一）</w:t>
      </w:r>
      <w:r w:rsidR="00D0403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企业简介、机构领导等企业信息</w:t>
      </w:r>
      <w:r w:rsidR="00474C0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；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（二）</w:t>
      </w:r>
      <w:r w:rsidR="00D0403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企业经营情况、国有资产保值增值、财务状况等经济信息</w:t>
      </w:r>
      <w:r w:rsidR="00474C0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；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（三）</w:t>
      </w:r>
      <w:r w:rsidR="00D0403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重大决策、重大人事任免、重大项目</w:t>
      </w:r>
      <w:r w:rsidR="00474C0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安排、大额资金运作等“三重一大”事项；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（四）</w:t>
      </w:r>
      <w:r w:rsidR="00474C0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企业社会责任履行情况；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（五）</w:t>
      </w:r>
      <w:r w:rsidR="00ED287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有关部门依法要求公开的监督检查问题整改落实情况；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（六）</w:t>
      </w:r>
      <w:r w:rsidR="00ED287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企业党建信息</w:t>
      </w:r>
      <w:r w:rsidR="00C7193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；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（七）</w:t>
      </w:r>
      <w:r w:rsidR="00ED287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其他依照法律法规规定应当主动公开的信息。</w:t>
      </w:r>
    </w:p>
    <w:p w:rsidR="00EA478A" w:rsidRPr="003038D9" w:rsidRDefault="00EA478A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="002F236E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十一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下列信息不予公开：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（一）涉及国家秘密、商业秘密和个人隐私的信息；</w:t>
      </w:r>
    </w:p>
    <w:p w:rsidR="00EA478A" w:rsidRPr="003038D9" w:rsidRDefault="00EA478A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（二）公开后可能会影响检查、调查、取证等执法活动的信息；</w:t>
      </w:r>
    </w:p>
    <w:p w:rsidR="00EA478A" w:rsidRPr="003038D9" w:rsidRDefault="001F7274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（三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）</w:t>
      </w:r>
      <w:r w:rsidR="00945A28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与相关方达成保密协议式条款的约定信息；</w:t>
      </w:r>
    </w:p>
    <w:p w:rsidR="00EA478A" w:rsidRPr="003038D9" w:rsidRDefault="001F7274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（四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）其他法律、行政法规规定不予公开的信息。</w:t>
      </w:r>
    </w:p>
    <w:p w:rsidR="00E24E5E" w:rsidRPr="003038D9" w:rsidRDefault="00E24E5E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EA478A" w:rsidRPr="00945A28" w:rsidRDefault="00EA478A" w:rsidP="00945A28">
      <w:pPr>
        <w:spacing w:line="560" w:lineRule="exact"/>
        <w:jc w:val="center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945A28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第四章 信息公开的方式和程序</w:t>
      </w:r>
    </w:p>
    <w:p w:rsidR="00EA478A" w:rsidRPr="003038D9" w:rsidRDefault="00EA478A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第十</w:t>
      </w:r>
      <w:r w:rsidR="000A4D13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一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="009E11D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D274E1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官方网站是企业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信息公开的载体</w:t>
      </w:r>
      <w:r w:rsidR="00D274E1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EA478A" w:rsidRDefault="000A4D13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第十二</w:t>
      </w:r>
      <w:r w:rsidR="00EA478A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信息公开主体负责对所公开的信息进行更新、维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lastRenderedPageBreak/>
        <w:t>护，</w:t>
      </w:r>
      <w:r w:rsidR="004D49A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若</w:t>
      </w:r>
      <w:r w:rsidR="00767242">
        <w:rPr>
          <w:rFonts w:ascii="仿宋" w:eastAsia="仿宋" w:hAnsi="仿宋" w:cs="Arial" w:hint="eastAsia"/>
          <w:bCs/>
          <w:kern w:val="0"/>
          <w:sz w:val="32"/>
          <w:szCs w:val="32"/>
        </w:rPr>
        <w:t>需要</w:t>
      </w:r>
      <w:r w:rsidR="00767242">
        <w:rPr>
          <w:rFonts w:ascii="仿宋" w:eastAsia="仿宋" w:hAnsi="仿宋" w:cs="Arial"/>
          <w:bCs/>
          <w:kern w:val="0"/>
          <w:sz w:val="32"/>
          <w:szCs w:val="32"/>
        </w:rPr>
        <w:t>在公司</w:t>
      </w:r>
      <w:r w:rsidR="00767242">
        <w:rPr>
          <w:rFonts w:ascii="仿宋" w:eastAsia="仿宋" w:hAnsi="仿宋" w:cs="Arial" w:hint="eastAsia"/>
          <w:bCs/>
          <w:kern w:val="0"/>
          <w:sz w:val="32"/>
          <w:szCs w:val="32"/>
        </w:rPr>
        <w:t>官网</w:t>
      </w:r>
      <w:r w:rsidR="00767242">
        <w:rPr>
          <w:rFonts w:ascii="仿宋" w:eastAsia="仿宋" w:hAnsi="仿宋" w:cs="Arial"/>
          <w:bCs/>
          <w:kern w:val="0"/>
          <w:sz w:val="32"/>
          <w:szCs w:val="32"/>
        </w:rPr>
        <w:t>发布或修改</w:t>
      </w:r>
      <w:r w:rsidR="004D49A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公开信息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，</w:t>
      </w:r>
      <w:r w:rsidR="004D49A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信息公开主体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提交</w:t>
      </w:r>
      <w:r w:rsidR="004D49A4" w:rsidRPr="004D49A4">
        <w:rPr>
          <w:rFonts w:ascii="仿宋" w:eastAsia="仿宋" w:hAnsi="仿宋" w:cs="Arial" w:hint="eastAsia"/>
          <w:bCs/>
          <w:kern w:val="0"/>
          <w:sz w:val="32"/>
          <w:szCs w:val="32"/>
        </w:rPr>
        <w:t>OA信息发布流程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对</w:t>
      </w:r>
      <w:r w:rsidR="004D49A4">
        <w:rPr>
          <w:rFonts w:ascii="仿宋" w:eastAsia="仿宋" w:hAnsi="仿宋" w:cs="Arial"/>
          <w:bCs/>
          <w:kern w:val="0"/>
          <w:sz w:val="32"/>
          <w:szCs w:val="32"/>
        </w:rPr>
        <w:t>信息内容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进行审批，审批完成后由综合管理部发布于公司官网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126FAC" w:rsidRDefault="00126FAC" w:rsidP="00126FAC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126FAC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第十三条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子公司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若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>需要</w:t>
      </w:r>
      <w:r>
        <w:rPr>
          <w:rFonts w:ascii="仿宋" w:eastAsia="仿宋" w:hAnsi="仿宋" w:cs="Arial"/>
          <w:bCs/>
          <w:kern w:val="0"/>
          <w:sz w:val="32"/>
          <w:szCs w:val="32"/>
        </w:rPr>
        <w:t>在公司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>官网</w:t>
      </w:r>
      <w:r>
        <w:rPr>
          <w:rFonts w:ascii="仿宋" w:eastAsia="仿宋" w:hAnsi="仿宋" w:cs="Arial"/>
          <w:bCs/>
          <w:kern w:val="0"/>
          <w:sz w:val="32"/>
          <w:szCs w:val="32"/>
        </w:rPr>
        <w:t>发布或修改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公开信息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>，也应提交</w:t>
      </w:r>
      <w:r w:rsidRPr="004D49A4">
        <w:rPr>
          <w:rFonts w:ascii="仿宋" w:eastAsia="仿宋" w:hAnsi="仿宋" w:cs="Arial" w:hint="eastAsia"/>
          <w:bCs/>
          <w:kern w:val="0"/>
          <w:sz w:val="32"/>
          <w:szCs w:val="32"/>
        </w:rPr>
        <w:t>OA信息发布流程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>对</w:t>
      </w:r>
      <w:r>
        <w:rPr>
          <w:rFonts w:ascii="仿宋" w:eastAsia="仿宋" w:hAnsi="仿宋" w:cs="Arial"/>
          <w:bCs/>
          <w:kern w:val="0"/>
          <w:sz w:val="32"/>
          <w:szCs w:val="32"/>
        </w:rPr>
        <w:t>信息内容</w:t>
      </w:r>
      <w:r>
        <w:rPr>
          <w:rFonts w:ascii="仿宋" w:eastAsia="仿宋" w:hAnsi="仿宋" w:cs="Arial" w:hint="eastAsia"/>
          <w:bCs/>
          <w:kern w:val="0"/>
          <w:sz w:val="32"/>
          <w:szCs w:val="32"/>
        </w:rPr>
        <w:t>进行审批，审批完成后由子公司自行发布于公司官网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1F7274" w:rsidRPr="003038D9" w:rsidRDefault="001F7274" w:rsidP="003038D9">
      <w:pPr>
        <w:spacing w:line="560" w:lineRule="exact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EA478A" w:rsidRPr="004D49A4" w:rsidRDefault="00985A41" w:rsidP="004D49A4">
      <w:pPr>
        <w:spacing w:line="560" w:lineRule="exact"/>
        <w:jc w:val="center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4D49A4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第五</w:t>
      </w:r>
      <w:r w:rsidR="00EA478A" w:rsidRPr="004D49A4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章 信息公开的监督</w:t>
      </w:r>
      <w:r w:rsidR="001F7274" w:rsidRPr="004D49A4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与保障</w:t>
      </w:r>
    </w:p>
    <w:p w:rsidR="004D49A4" w:rsidRDefault="002F236E" w:rsidP="004D49A4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第十</w:t>
      </w:r>
      <w:r w:rsidR="00126FAC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四</w:t>
      </w:r>
      <w:r w:rsidR="00EA478A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="001F7274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 </w:t>
      </w:r>
      <w:r w:rsidR="00397835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有下列情形之一的，由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397835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责令改正;情节严重的，对相关责任人员依法、依纪作出处理:</w:t>
      </w:r>
    </w:p>
    <w:p w:rsidR="004D49A4" w:rsidRDefault="00397835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（一）未经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批准私自对外公开企业信息的；</w:t>
      </w:r>
    </w:p>
    <w:p w:rsidR="004D49A4" w:rsidRDefault="004D49A4" w:rsidP="004D49A4">
      <w:pPr>
        <w:spacing w:line="560" w:lineRule="exact"/>
        <w:ind w:firstLineChars="200" w:firstLine="620"/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w w:val="97"/>
          <w:kern w:val="0"/>
          <w:sz w:val="32"/>
          <w:szCs w:val="32"/>
        </w:rPr>
        <w:t>（二）</w:t>
      </w:r>
      <w:r w:rsidR="00397835" w:rsidRPr="003038D9">
        <w:rPr>
          <w:rFonts w:ascii="仿宋" w:eastAsia="仿宋" w:hAnsi="仿宋" w:cs="Arial" w:hint="eastAsia"/>
          <w:bCs/>
          <w:w w:val="97"/>
          <w:kern w:val="0"/>
          <w:sz w:val="32"/>
          <w:szCs w:val="32"/>
        </w:rPr>
        <w:t>公开的信息有虚假记载、误导性陈述或重大遗漏的；</w:t>
      </w:r>
    </w:p>
    <w:p w:rsidR="00EA478A" w:rsidRPr="003038D9" w:rsidRDefault="00397835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（三）违反国家和安徽省有关法律法规和本办法规定的其他行为。</w:t>
      </w:r>
    </w:p>
    <w:p w:rsidR="00EA478A" w:rsidRPr="003038D9" w:rsidRDefault="00EA478A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="002F236E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十</w:t>
      </w:r>
      <w:r w:rsidR="00126FAC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五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="001F727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信息公开工作所需经费纳入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公司</w:t>
      </w:r>
      <w:r w:rsidR="001F7274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年度预算中予以</w:t>
      </w:r>
      <w:r w:rsidR="00E24E5E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统筹保障。</w:t>
      </w:r>
    </w:p>
    <w:p w:rsidR="00FB0149" w:rsidRPr="003038D9" w:rsidRDefault="00FB0149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第十</w:t>
      </w:r>
      <w:r w:rsidR="00126FAC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六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条 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要加强信息公开的舆情监测、收集和处置工作，一旦发现因信息公开引起的重大舆情反应，应及时报告，并采取措施及时妥善处理。</w:t>
      </w:r>
    </w:p>
    <w:p w:rsidR="00FB0149" w:rsidRPr="003038D9" w:rsidRDefault="00FB0149" w:rsidP="003038D9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EA478A" w:rsidRPr="004D49A4" w:rsidRDefault="00985A41" w:rsidP="004D49A4">
      <w:pPr>
        <w:spacing w:line="560" w:lineRule="exact"/>
        <w:jc w:val="center"/>
        <w:rPr>
          <w:rFonts w:ascii="仿宋" w:eastAsia="仿宋" w:hAnsi="仿宋" w:cs="Arial"/>
          <w:b/>
          <w:bCs/>
          <w:kern w:val="0"/>
          <w:sz w:val="32"/>
          <w:szCs w:val="32"/>
        </w:rPr>
      </w:pPr>
      <w:r w:rsidRPr="004D49A4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第六</w:t>
      </w:r>
      <w:r w:rsidR="00EA478A" w:rsidRPr="004D49A4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章 附 则</w:t>
      </w:r>
    </w:p>
    <w:p w:rsidR="00126FAC" w:rsidRDefault="00126FAC" w:rsidP="003038D9">
      <w:pPr>
        <w:spacing w:line="560" w:lineRule="exact"/>
        <w:ind w:firstLineChars="200" w:firstLine="643"/>
        <w:rPr>
          <w:rFonts w:ascii="仿宋" w:eastAsia="仿宋" w:hAnsi="仿宋" w:cs="Arial"/>
          <w:b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第十七条 </w:t>
      </w:r>
      <w:r w:rsidRPr="00AD0B0A">
        <w:rPr>
          <w:rFonts w:eastAsia="仿宋"/>
          <w:color w:val="000000" w:themeColor="text1"/>
          <w:sz w:val="32"/>
          <w:szCs w:val="32"/>
        </w:rPr>
        <w:t>本办法由公司总经理办公会审议通过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EA478A" w:rsidRPr="003038D9" w:rsidRDefault="00126FAC" w:rsidP="003038D9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kern w:val="0"/>
          <w:sz w:val="32"/>
          <w:szCs w:val="32"/>
        </w:rPr>
        <w:lastRenderedPageBreak/>
        <w:t>第十八</w:t>
      </w:r>
      <w:r w:rsidR="00FB0149"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 xml:space="preserve">条 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本办法由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综合管理部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负责解释</w:t>
      </w:r>
      <w:r w:rsidR="004D49A4">
        <w:rPr>
          <w:rFonts w:ascii="仿宋" w:eastAsia="仿宋" w:hAnsi="仿宋" w:cs="Arial" w:hint="eastAsia"/>
          <w:bCs/>
          <w:kern w:val="0"/>
          <w:sz w:val="32"/>
          <w:szCs w:val="32"/>
        </w:rPr>
        <w:t>和</w:t>
      </w:r>
      <w:r w:rsidR="004D49A4">
        <w:rPr>
          <w:rFonts w:ascii="仿宋" w:eastAsia="仿宋" w:hAnsi="仿宋" w:cs="Arial"/>
          <w:bCs/>
          <w:kern w:val="0"/>
          <w:sz w:val="32"/>
          <w:szCs w:val="32"/>
        </w:rPr>
        <w:t>修订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F9486B" w:rsidRDefault="00FB0149" w:rsidP="004D49A4">
      <w:pPr>
        <w:spacing w:line="560" w:lineRule="exact"/>
        <w:ind w:firstLineChars="200" w:firstLine="643"/>
        <w:rPr>
          <w:rFonts w:ascii="仿宋" w:eastAsia="仿宋" w:hAnsi="仿宋" w:cs="Arial"/>
          <w:bCs/>
          <w:kern w:val="0"/>
          <w:sz w:val="32"/>
          <w:szCs w:val="32"/>
        </w:rPr>
      </w:pP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第</w:t>
      </w:r>
      <w:r w:rsidR="000A4D13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十</w:t>
      </w:r>
      <w:r w:rsidR="00126FAC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九</w:t>
      </w:r>
      <w:r w:rsidRPr="003038D9">
        <w:rPr>
          <w:rFonts w:ascii="仿宋" w:eastAsia="仿宋" w:hAnsi="仿宋" w:cs="Arial" w:hint="eastAsia"/>
          <w:b/>
          <w:bCs/>
          <w:kern w:val="0"/>
          <w:sz w:val="32"/>
          <w:szCs w:val="32"/>
        </w:rPr>
        <w:t>条</w:t>
      </w:r>
      <w:r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 xml:space="preserve"> 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本办法</w:t>
      </w:r>
      <w:r w:rsidR="00D13157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自印发之日起施行</w:t>
      </w:r>
      <w:r w:rsidR="00EA478A" w:rsidRPr="003038D9">
        <w:rPr>
          <w:rFonts w:ascii="仿宋" w:eastAsia="仿宋" w:hAnsi="仿宋" w:cs="Arial" w:hint="eastAsia"/>
          <w:bCs/>
          <w:kern w:val="0"/>
          <w:sz w:val="32"/>
          <w:szCs w:val="32"/>
        </w:rPr>
        <w:t>。</w:t>
      </w: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p w:rsidR="00F031B6" w:rsidRDefault="00F031B6" w:rsidP="00F031B6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  <w:sectPr w:rsidR="00F031B6" w:rsidSect="00A743B0">
          <w:footerReference w:type="default" r:id="rId6"/>
          <w:pgSz w:w="11906" w:h="16838"/>
          <w:pgMar w:top="2098" w:right="1474" w:bottom="1985" w:left="1588" w:header="851" w:footer="1406" w:gutter="0"/>
          <w:cols w:space="425"/>
          <w:docGrid w:type="lines" w:linePitch="312"/>
        </w:sectPr>
      </w:pPr>
    </w:p>
    <w:tbl>
      <w:tblPr>
        <w:tblW w:w="506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70"/>
        <w:gridCol w:w="1646"/>
        <w:gridCol w:w="2361"/>
        <w:gridCol w:w="3913"/>
        <w:gridCol w:w="1420"/>
        <w:gridCol w:w="2937"/>
      </w:tblGrid>
      <w:tr w:rsidR="00F031B6" w:rsidRPr="00F031B6" w:rsidTr="00F031B6">
        <w:trPr>
          <w:trHeight w:val="570"/>
        </w:trPr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lastRenderedPageBreak/>
              <w:t>附件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31B6" w:rsidRPr="00F031B6" w:rsidTr="00F031B6">
        <w:trPr>
          <w:trHeight w:val="76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小标宋" w:eastAsia="小标宋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F031B6">
              <w:rPr>
                <w:rFonts w:ascii="小标宋" w:eastAsia="小标宋" w:hAnsi="宋体" w:cs="宋体" w:hint="eastAsia"/>
                <w:bCs/>
                <w:color w:val="000000"/>
                <w:kern w:val="0"/>
                <w:sz w:val="44"/>
                <w:szCs w:val="44"/>
              </w:rPr>
              <w:t>国元期货信息公开内容及分工表</w:t>
            </w:r>
          </w:p>
        </w:tc>
      </w:tr>
      <w:tr w:rsidR="00F031B6" w:rsidRPr="00F031B6" w:rsidTr="00F031B6">
        <w:trPr>
          <w:trHeight w:val="5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一级目录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二级目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信息公开具体内容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责任部门</w:t>
            </w:r>
          </w:p>
        </w:tc>
      </w:tr>
      <w:tr w:rsidR="00F031B6" w:rsidRPr="00F031B6" w:rsidTr="00F031B6">
        <w:trPr>
          <w:trHeight w:val="99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企业信息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企业基本情况介绍。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静态展示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综合管理部</w:t>
            </w:r>
          </w:p>
        </w:tc>
      </w:tr>
      <w:tr w:rsidR="00F031B6" w:rsidRPr="00F031B6" w:rsidTr="00F031B6">
        <w:trPr>
          <w:trHeight w:val="94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机构领导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公司高管情况。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静态展示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人力资源部</w:t>
            </w:r>
          </w:p>
        </w:tc>
      </w:tr>
      <w:tr w:rsidR="00F031B6" w:rsidRPr="00F031B6" w:rsidTr="00F031B6">
        <w:trPr>
          <w:trHeight w:val="8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年度国有资本保值增值情况、财务状况。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计划财务部</w:t>
            </w:r>
          </w:p>
        </w:tc>
      </w:tr>
      <w:tr w:rsidR="00F031B6" w:rsidRPr="00F031B6" w:rsidTr="00F031B6">
        <w:trPr>
          <w:trHeight w:val="91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“三重一大”事项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重大决策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企业改革重组、重大改制重组，重大产权交易、增资等信息。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党群工作办公室、综合管理部、计划财务部</w:t>
            </w:r>
          </w:p>
        </w:tc>
      </w:tr>
      <w:tr w:rsidR="00F031B6" w:rsidRPr="00F031B6" w:rsidTr="00F031B6">
        <w:trPr>
          <w:trHeight w:val="84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重大人事任免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高管人员人事任免信息。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人力资源部</w:t>
            </w:r>
          </w:p>
        </w:tc>
      </w:tr>
      <w:tr w:rsidR="00F031B6" w:rsidRPr="00F031B6" w:rsidTr="00F031B6">
        <w:trPr>
          <w:trHeight w:val="64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重大项目安排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大额招标采购项目信息等。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综合管理部、信息技术</w:t>
            </w: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部</w:t>
            </w:r>
          </w:p>
        </w:tc>
      </w:tr>
      <w:tr w:rsidR="00F031B6" w:rsidRPr="00F031B6" w:rsidTr="00F031B6">
        <w:trPr>
          <w:trHeight w:val="58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大额资金运作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大额借款信息等。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计划财务部</w:t>
            </w:r>
          </w:p>
        </w:tc>
      </w:tr>
      <w:tr w:rsidR="00F031B6" w:rsidRPr="00F031B6" w:rsidTr="00F031B6">
        <w:trPr>
          <w:trHeight w:val="7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社会责任履行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社会公益、扶贫帮困等企业履行社会责任情况、社会责任报告等。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党群工作办公室、综合管理部</w:t>
            </w:r>
          </w:p>
        </w:tc>
      </w:tr>
      <w:tr w:rsidR="00F031B6" w:rsidRPr="00F031B6" w:rsidTr="00F031B6">
        <w:trPr>
          <w:trHeight w:val="499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整改落实情况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监督渠道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有关部门依法要求公开的监督检查情况。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合规稽核部</w:t>
            </w:r>
          </w:p>
        </w:tc>
      </w:tr>
      <w:tr w:rsidR="00F031B6" w:rsidRPr="00F031B6" w:rsidTr="00F031B6">
        <w:trPr>
          <w:trHeight w:val="49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监督投诉及结果反馈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公开的监督检查问题整改情况。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合规稽核部</w:t>
            </w:r>
          </w:p>
        </w:tc>
      </w:tr>
      <w:tr w:rsidR="00F031B6" w:rsidRPr="00F031B6" w:rsidTr="00F031B6">
        <w:trPr>
          <w:trHeight w:val="9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企业党建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企业党建、党风廉政、党群工作等信息。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实时更新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党群工作办公室</w:t>
            </w:r>
          </w:p>
        </w:tc>
      </w:tr>
      <w:tr w:rsidR="00F031B6" w:rsidRPr="00F031B6" w:rsidTr="00F031B6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其他事项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其他依照法律法规规定应当主动公开的信息。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F031B6" w:rsidRPr="00F031B6" w:rsidTr="00F031B6">
        <w:trPr>
          <w:trHeight w:val="7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公司官网信息公开栏目搭建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B6" w:rsidRPr="00F031B6" w:rsidRDefault="00F031B6" w:rsidP="00F031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1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B6" w:rsidRPr="00F031B6" w:rsidRDefault="00F031B6" w:rsidP="00F031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031B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信息技术部</w:t>
            </w:r>
          </w:p>
        </w:tc>
      </w:tr>
    </w:tbl>
    <w:p w:rsidR="00F031B6" w:rsidRPr="004D49A4" w:rsidRDefault="00F031B6" w:rsidP="004D49A4">
      <w:pPr>
        <w:spacing w:line="560" w:lineRule="exact"/>
        <w:ind w:firstLineChars="200" w:firstLine="640"/>
        <w:rPr>
          <w:rFonts w:ascii="仿宋" w:eastAsia="仿宋" w:hAnsi="仿宋" w:cs="Arial"/>
          <w:bCs/>
          <w:kern w:val="0"/>
          <w:sz w:val="32"/>
          <w:szCs w:val="32"/>
        </w:rPr>
      </w:pPr>
    </w:p>
    <w:sectPr w:rsidR="00F031B6" w:rsidRPr="004D49A4" w:rsidSect="00F031B6">
      <w:pgSz w:w="16838" w:h="11906" w:orient="landscape"/>
      <w:pgMar w:top="1588" w:right="2098" w:bottom="1474" w:left="1985" w:header="851" w:footer="140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C1" w:rsidRDefault="002433C1" w:rsidP="0005684A">
      <w:r>
        <w:separator/>
      </w:r>
    </w:p>
  </w:endnote>
  <w:endnote w:type="continuationSeparator" w:id="0">
    <w:p w:rsidR="002433C1" w:rsidRDefault="002433C1" w:rsidP="000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615032"/>
      <w:docPartObj>
        <w:docPartGallery w:val="Page Numbers (Bottom of Page)"/>
        <w:docPartUnique/>
      </w:docPartObj>
    </w:sdtPr>
    <w:sdtEndPr/>
    <w:sdtContent>
      <w:sdt>
        <w:sdtPr>
          <w:id w:val="1379122219"/>
        </w:sdtPr>
        <w:sdtEndPr/>
        <w:sdtContent>
          <w:p w:rsidR="000C0C42" w:rsidRPr="00A743B0" w:rsidRDefault="00A743B0" w:rsidP="00A743B0">
            <w:pPr>
              <w:pStyle w:val="a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- </w:t>
            </w: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>PAGE   \* MERGEFORMAT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 w:rsidR="00A94DF7" w:rsidRPr="00A94DF7">
              <w:rPr>
                <w:rFonts w:ascii="宋体" w:hAnsi="宋体"/>
                <w:noProof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  <w:r>
              <w:rPr>
                <w:rFonts w:ascii="宋体" w:hAnsi="宋体"/>
                <w:sz w:val="28"/>
                <w:szCs w:val="28"/>
              </w:rPr>
              <w:t xml:space="preserve"> -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C1" w:rsidRDefault="002433C1" w:rsidP="0005684A">
      <w:r>
        <w:separator/>
      </w:r>
    </w:p>
  </w:footnote>
  <w:footnote w:type="continuationSeparator" w:id="0">
    <w:p w:rsidR="002433C1" w:rsidRDefault="002433C1" w:rsidP="0005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84A"/>
    <w:rsid w:val="00006E7D"/>
    <w:rsid w:val="00020B57"/>
    <w:rsid w:val="000273E4"/>
    <w:rsid w:val="0005684A"/>
    <w:rsid w:val="000664B5"/>
    <w:rsid w:val="000670F7"/>
    <w:rsid w:val="0007406D"/>
    <w:rsid w:val="00076C5A"/>
    <w:rsid w:val="000A4D13"/>
    <w:rsid w:val="000C0C42"/>
    <w:rsid w:val="000E004C"/>
    <w:rsid w:val="000E6919"/>
    <w:rsid w:val="00106866"/>
    <w:rsid w:val="00117CDD"/>
    <w:rsid w:val="00117E54"/>
    <w:rsid w:val="00126FAC"/>
    <w:rsid w:val="001449C9"/>
    <w:rsid w:val="0015412D"/>
    <w:rsid w:val="0018198A"/>
    <w:rsid w:val="00192CFC"/>
    <w:rsid w:val="001B5E6A"/>
    <w:rsid w:val="001F7274"/>
    <w:rsid w:val="00200B86"/>
    <w:rsid w:val="002433C1"/>
    <w:rsid w:val="002461DD"/>
    <w:rsid w:val="002D1E1E"/>
    <w:rsid w:val="002D42AD"/>
    <w:rsid w:val="002F236E"/>
    <w:rsid w:val="003038D9"/>
    <w:rsid w:val="00350328"/>
    <w:rsid w:val="00397835"/>
    <w:rsid w:val="003C508E"/>
    <w:rsid w:val="003C73DB"/>
    <w:rsid w:val="004009F6"/>
    <w:rsid w:val="004014B0"/>
    <w:rsid w:val="00443B6D"/>
    <w:rsid w:val="00447641"/>
    <w:rsid w:val="00474C04"/>
    <w:rsid w:val="004B656D"/>
    <w:rsid w:val="004D49A4"/>
    <w:rsid w:val="004F0249"/>
    <w:rsid w:val="00503132"/>
    <w:rsid w:val="00543847"/>
    <w:rsid w:val="005E48A4"/>
    <w:rsid w:val="00621927"/>
    <w:rsid w:val="00632E14"/>
    <w:rsid w:val="006500A9"/>
    <w:rsid w:val="00662E9F"/>
    <w:rsid w:val="00674058"/>
    <w:rsid w:val="006B1CD1"/>
    <w:rsid w:val="006D2BA1"/>
    <w:rsid w:val="006D4D8A"/>
    <w:rsid w:val="006F49AD"/>
    <w:rsid w:val="0075788E"/>
    <w:rsid w:val="00767242"/>
    <w:rsid w:val="00775C69"/>
    <w:rsid w:val="0084201A"/>
    <w:rsid w:val="00893FED"/>
    <w:rsid w:val="008C33B9"/>
    <w:rsid w:val="008E4BD4"/>
    <w:rsid w:val="0094225C"/>
    <w:rsid w:val="00943762"/>
    <w:rsid w:val="00945A28"/>
    <w:rsid w:val="00964E52"/>
    <w:rsid w:val="00985A41"/>
    <w:rsid w:val="009E11DA"/>
    <w:rsid w:val="009F2530"/>
    <w:rsid w:val="009F2D7B"/>
    <w:rsid w:val="00A42A36"/>
    <w:rsid w:val="00A5383F"/>
    <w:rsid w:val="00A743B0"/>
    <w:rsid w:val="00A845BB"/>
    <w:rsid w:val="00A90390"/>
    <w:rsid w:val="00A93B49"/>
    <w:rsid w:val="00A94DF7"/>
    <w:rsid w:val="00AC54C7"/>
    <w:rsid w:val="00B02E4F"/>
    <w:rsid w:val="00B0455D"/>
    <w:rsid w:val="00B063E3"/>
    <w:rsid w:val="00BC3A4E"/>
    <w:rsid w:val="00C037F0"/>
    <w:rsid w:val="00C10CD3"/>
    <w:rsid w:val="00C17A54"/>
    <w:rsid w:val="00C27C7F"/>
    <w:rsid w:val="00C361D9"/>
    <w:rsid w:val="00C7193A"/>
    <w:rsid w:val="00C80720"/>
    <w:rsid w:val="00C81656"/>
    <w:rsid w:val="00C82C9D"/>
    <w:rsid w:val="00CA5218"/>
    <w:rsid w:val="00D04034"/>
    <w:rsid w:val="00D13157"/>
    <w:rsid w:val="00D274E1"/>
    <w:rsid w:val="00DA56B6"/>
    <w:rsid w:val="00DA7ED1"/>
    <w:rsid w:val="00DB4F35"/>
    <w:rsid w:val="00DD4BBF"/>
    <w:rsid w:val="00DE603A"/>
    <w:rsid w:val="00E14F11"/>
    <w:rsid w:val="00E24E5E"/>
    <w:rsid w:val="00E939B0"/>
    <w:rsid w:val="00E942FC"/>
    <w:rsid w:val="00EA478A"/>
    <w:rsid w:val="00EC3B83"/>
    <w:rsid w:val="00ED287A"/>
    <w:rsid w:val="00F031B6"/>
    <w:rsid w:val="00F574C2"/>
    <w:rsid w:val="00F76B08"/>
    <w:rsid w:val="00F9486B"/>
    <w:rsid w:val="00FB0149"/>
    <w:rsid w:val="00FC266A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3F6EB"/>
  <w15:docId w15:val="{C8A111E1-2EE8-4BB1-86A2-7788B47C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5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5684A"/>
    <w:rPr>
      <w:sz w:val="18"/>
      <w:szCs w:val="18"/>
    </w:rPr>
  </w:style>
  <w:style w:type="character" w:styleId="a7">
    <w:name w:val="Strong"/>
    <w:basedOn w:val="a0"/>
    <w:uiPriority w:val="22"/>
    <w:qFormat/>
    <w:rsid w:val="000568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942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4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张敬涛</cp:lastModifiedBy>
  <cp:revision>113</cp:revision>
  <cp:lastPrinted>2022-10-31T04:02:00Z</cp:lastPrinted>
  <dcterms:created xsi:type="dcterms:W3CDTF">2022-10-28T03:03:00Z</dcterms:created>
  <dcterms:modified xsi:type="dcterms:W3CDTF">2022-11-08T08:48:00Z</dcterms:modified>
</cp:coreProperties>
</file>